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C70" w:rsidRPr="00C613C3" w:rsidRDefault="00C613C3" w:rsidP="00C613C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613C3">
        <w:rPr>
          <w:rFonts w:ascii="Times New Roman" w:hAnsi="Times New Roman" w:cs="Times New Roman"/>
          <w:b/>
          <w:sz w:val="24"/>
          <w:szCs w:val="24"/>
        </w:rPr>
        <w:t>Międzynarodowe czasopisma z zakresu</w:t>
      </w:r>
      <w:r>
        <w:rPr>
          <w:rFonts w:ascii="Times New Roman" w:hAnsi="Times New Roman" w:cs="Times New Roman"/>
          <w:b/>
          <w:sz w:val="24"/>
          <w:szCs w:val="24"/>
        </w:rPr>
        <w:t xml:space="preserve"> Library &amp; Information Science </w:t>
      </w:r>
      <w:r w:rsidRPr="00C613C3">
        <w:rPr>
          <w:rFonts w:ascii="Times New Roman" w:hAnsi="Times New Roman" w:cs="Times New Roman"/>
          <w:b/>
          <w:sz w:val="24"/>
          <w:szCs w:val="24"/>
        </w:rPr>
        <w:t>w polskim wykazie czasopism naukowych (studium naukometryczne)</w:t>
      </w:r>
      <w:r w:rsidR="00A040F5" w:rsidRPr="00C613C3">
        <w:rPr>
          <w:rFonts w:ascii="Times New Roman" w:hAnsi="Times New Roman" w:cs="Times New Roman"/>
          <w:b/>
          <w:sz w:val="24"/>
          <w:szCs w:val="24"/>
        </w:rPr>
        <w:br/>
      </w:r>
    </w:p>
    <w:p w:rsidR="00A02C70" w:rsidRPr="00C613C3" w:rsidRDefault="00A02C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02C70" w:rsidRPr="00AE7E4A" w:rsidRDefault="002047B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7E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proofErr w:type="spellStart"/>
      <w:r w:rsidRPr="00AE7E4A">
        <w:rPr>
          <w:rFonts w:ascii="Times New Roman" w:hAnsi="Times New Roman" w:cs="Times New Roman"/>
          <w:b/>
          <w:sz w:val="24"/>
          <w:szCs w:val="24"/>
          <w:lang w:val="en-US"/>
        </w:rPr>
        <w:t>Wstęp</w:t>
      </w:r>
      <w:proofErr w:type="spellEnd"/>
    </w:p>
    <w:p w:rsidR="00AE7E4A" w:rsidRPr="00AE7E4A" w:rsidRDefault="00AE7E4A" w:rsidP="00AE7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7E4A">
        <w:rPr>
          <w:rFonts w:ascii="Times New Roman" w:hAnsi="Times New Roman" w:cs="Times New Roman"/>
          <w:sz w:val="24"/>
          <w:szCs w:val="24"/>
          <w:lang w:val="en-US"/>
        </w:rPr>
        <w:t>Lorem Ipsum is simply dummy text of the printing and typesetting industry. Lorem Ipsum has been the industry's standard dummy text ever since the 1500s, when an unknown printer took a galley of type and scrambled it to make a type specimen book</w:t>
      </w:r>
      <w:r w:rsidR="00F77969">
        <w:rPr>
          <w:rStyle w:val="Zakotwiczenieprzypisudolnego"/>
          <w:rFonts w:ascii="Times New Roman" w:hAnsi="Times New Roman" w:cs="Times New Roman"/>
          <w:sz w:val="24"/>
          <w:szCs w:val="24"/>
        </w:rPr>
        <w:footnoteReference w:id="1"/>
      </w:r>
      <w:r w:rsidRPr="00AE7E4A">
        <w:rPr>
          <w:rFonts w:ascii="Times New Roman" w:hAnsi="Times New Roman" w:cs="Times New Roman"/>
          <w:sz w:val="24"/>
          <w:szCs w:val="24"/>
          <w:lang w:val="en-US"/>
        </w:rPr>
        <w:t xml:space="preserve">. It has survived not only five centuries, but also the leap into electronic typesetting, remaining essentially unchanged. It was </w:t>
      </w:r>
      <w:proofErr w:type="spellStart"/>
      <w:r w:rsidRPr="00AE7E4A">
        <w:rPr>
          <w:rFonts w:ascii="Times New Roman" w:hAnsi="Times New Roman" w:cs="Times New Roman"/>
          <w:sz w:val="24"/>
          <w:szCs w:val="24"/>
          <w:lang w:val="en-US"/>
        </w:rPr>
        <w:t>popularised</w:t>
      </w:r>
      <w:proofErr w:type="spellEnd"/>
      <w:r w:rsidRPr="00AE7E4A">
        <w:rPr>
          <w:rFonts w:ascii="Times New Roman" w:hAnsi="Times New Roman" w:cs="Times New Roman"/>
          <w:sz w:val="24"/>
          <w:szCs w:val="24"/>
          <w:lang w:val="en-US"/>
        </w:rPr>
        <w:t xml:space="preserve"> in the 1960s with the release of </w:t>
      </w:r>
      <w:proofErr w:type="spellStart"/>
      <w:r w:rsidRPr="00AE7E4A">
        <w:rPr>
          <w:rFonts w:ascii="Times New Roman" w:hAnsi="Times New Roman" w:cs="Times New Roman"/>
          <w:sz w:val="24"/>
          <w:szCs w:val="24"/>
          <w:lang w:val="en-US"/>
        </w:rPr>
        <w:t>Letraset</w:t>
      </w:r>
      <w:proofErr w:type="spellEnd"/>
      <w:r w:rsidRPr="00AE7E4A">
        <w:rPr>
          <w:rFonts w:ascii="Times New Roman" w:hAnsi="Times New Roman" w:cs="Times New Roman"/>
          <w:sz w:val="24"/>
          <w:szCs w:val="24"/>
          <w:lang w:val="en-US"/>
        </w:rPr>
        <w:t xml:space="preserve"> sheets containing Lorem Ipsum passages, and more recently with desktop publishing software like Aldus PageMaker including versions of Lorem Ipsum</w:t>
      </w:r>
      <w:r w:rsidR="00F77969">
        <w:rPr>
          <w:rStyle w:val="Zakotwiczenieprzypisudolnego"/>
          <w:rFonts w:ascii="Times New Roman" w:hAnsi="Times New Roman" w:cs="Times New Roman"/>
          <w:sz w:val="24"/>
          <w:szCs w:val="24"/>
        </w:rPr>
        <w:footnoteReference w:id="2"/>
      </w:r>
      <w:r w:rsidRPr="00AE7E4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E7E4A" w:rsidRPr="00AE7E4A" w:rsidRDefault="00AE7E4A" w:rsidP="00AE7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</w:t>
      </w:r>
    </w:p>
    <w:p w:rsidR="00AE7E4A" w:rsidRPr="00AE7E4A" w:rsidRDefault="00AE7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02C70" w:rsidRPr="00AE7E4A" w:rsidRDefault="002047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7E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proofErr w:type="spellStart"/>
      <w:r w:rsidR="00AE7E4A" w:rsidRPr="00AE7E4A">
        <w:rPr>
          <w:rFonts w:ascii="Times New Roman" w:hAnsi="Times New Roman" w:cs="Times New Roman"/>
          <w:b/>
          <w:sz w:val="24"/>
          <w:szCs w:val="24"/>
          <w:lang w:val="en-US"/>
        </w:rPr>
        <w:t>Kolejny</w:t>
      </w:r>
      <w:proofErr w:type="spellEnd"/>
      <w:r w:rsidR="00AE7E4A" w:rsidRPr="00AE7E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E7E4A" w:rsidRPr="00AE7E4A">
        <w:rPr>
          <w:rFonts w:ascii="Times New Roman" w:hAnsi="Times New Roman" w:cs="Times New Roman"/>
          <w:b/>
          <w:sz w:val="24"/>
          <w:szCs w:val="24"/>
          <w:lang w:val="en-US"/>
        </w:rPr>
        <w:t>rozdział</w:t>
      </w:r>
      <w:proofErr w:type="spellEnd"/>
      <w:r w:rsidR="00AE7E4A" w:rsidRPr="00AE7E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02C70" w:rsidRPr="00AE7E4A" w:rsidRDefault="00A02C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AE7E4A" w:rsidRPr="00AE7E4A" w:rsidRDefault="00AE7E4A" w:rsidP="00AE7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7E4A">
        <w:rPr>
          <w:rFonts w:ascii="Times New Roman" w:hAnsi="Times New Roman" w:cs="Times New Roman"/>
          <w:sz w:val="24"/>
          <w:szCs w:val="24"/>
          <w:lang w:val="en-US"/>
        </w:rPr>
        <w:t>Lorem Ipsum is simply dummy text of the printing and typesetting industry. Lorem Ipsum has been the industry's standard dummy text ever since the 1500s, when an unknown printer took a galley of type and scrambled it to make a type specimen book</w:t>
      </w:r>
      <w:r w:rsidR="00B2425B">
        <w:rPr>
          <w:rStyle w:val="Zakotwiczenieprzypisudolnego"/>
          <w:rFonts w:ascii="Times New Roman" w:hAnsi="Times New Roman" w:cs="Times New Roman"/>
          <w:sz w:val="24"/>
          <w:szCs w:val="24"/>
        </w:rPr>
        <w:footnoteReference w:id="3"/>
      </w:r>
      <w:r w:rsidRPr="00AE7E4A">
        <w:rPr>
          <w:rFonts w:ascii="Times New Roman" w:hAnsi="Times New Roman" w:cs="Times New Roman"/>
          <w:sz w:val="24"/>
          <w:szCs w:val="24"/>
          <w:lang w:val="en-US"/>
        </w:rPr>
        <w:t xml:space="preserve">. It has survived not only five centuries, but also the leap into electronic typesetting, remaining essentially unchanged. It was </w:t>
      </w:r>
      <w:proofErr w:type="spellStart"/>
      <w:r w:rsidRPr="00AE7E4A">
        <w:rPr>
          <w:rFonts w:ascii="Times New Roman" w:hAnsi="Times New Roman" w:cs="Times New Roman"/>
          <w:sz w:val="24"/>
          <w:szCs w:val="24"/>
          <w:lang w:val="en-US"/>
        </w:rPr>
        <w:t>popularised</w:t>
      </w:r>
      <w:proofErr w:type="spellEnd"/>
      <w:r w:rsidRPr="00AE7E4A">
        <w:rPr>
          <w:rFonts w:ascii="Times New Roman" w:hAnsi="Times New Roman" w:cs="Times New Roman"/>
          <w:sz w:val="24"/>
          <w:szCs w:val="24"/>
          <w:lang w:val="en-US"/>
        </w:rPr>
        <w:t xml:space="preserve"> in the 1960s with the release of </w:t>
      </w:r>
      <w:proofErr w:type="spellStart"/>
      <w:r w:rsidRPr="00AE7E4A">
        <w:rPr>
          <w:rFonts w:ascii="Times New Roman" w:hAnsi="Times New Roman" w:cs="Times New Roman"/>
          <w:sz w:val="24"/>
          <w:szCs w:val="24"/>
          <w:lang w:val="en-US"/>
        </w:rPr>
        <w:t>Letraset</w:t>
      </w:r>
      <w:proofErr w:type="spellEnd"/>
      <w:r w:rsidRPr="00AE7E4A">
        <w:rPr>
          <w:rFonts w:ascii="Times New Roman" w:hAnsi="Times New Roman" w:cs="Times New Roman"/>
          <w:sz w:val="24"/>
          <w:szCs w:val="24"/>
          <w:lang w:val="en-US"/>
        </w:rPr>
        <w:t xml:space="preserve"> sheets containing Lorem Ipsum passages, and more recently with desktop publishing software like Aldus PageMaker including versions of Lorem Ipsum.</w:t>
      </w:r>
    </w:p>
    <w:p w:rsidR="00B87EFD" w:rsidRDefault="00B87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23296D" w:rsidRDefault="0023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A02C70" w:rsidRDefault="00A02C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02C70" w:rsidRDefault="002047B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Tab</w:t>
      </w:r>
      <w:r w:rsidR="00B95321">
        <w:rPr>
          <w:rFonts w:ascii="Times New Roman" w:hAnsi="Times New Roman" w:cs="Times New Roman"/>
          <w:b/>
          <w:sz w:val="20"/>
          <w:szCs w:val="20"/>
        </w:rPr>
        <w:t>ela</w:t>
      </w:r>
      <w:r>
        <w:rPr>
          <w:rFonts w:ascii="Times New Roman" w:hAnsi="Times New Roman" w:cs="Times New Roman"/>
          <w:b/>
          <w:sz w:val="20"/>
          <w:szCs w:val="20"/>
        </w:rPr>
        <w:t xml:space="preserve"> 2</w:t>
      </w:r>
      <w:r w:rsidR="00B95321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Zawartość badanego zbioru a liczba dyscyplin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63"/>
        <w:gridCol w:w="447"/>
        <w:gridCol w:w="621"/>
        <w:gridCol w:w="448"/>
        <w:gridCol w:w="621"/>
        <w:gridCol w:w="448"/>
        <w:gridCol w:w="621"/>
        <w:gridCol w:w="448"/>
        <w:gridCol w:w="621"/>
        <w:gridCol w:w="406"/>
        <w:gridCol w:w="510"/>
        <w:gridCol w:w="406"/>
        <w:gridCol w:w="511"/>
        <w:gridCol w:w="406"/>
        <w:gridCol w:w="511"/>
        <w:gridCol w:w="448"/>
        <w:gridCol w:w="731"/>
      </w:tblGrid>
      <w:tr w:rsidR="00A02C70">
        <w:tc>
          <w:tcPr>
            <w:tcW w:w="864" w:type="dxa"/>
            <w:vMerge w:val="restart"/>
            <w:shd w:val="clear" w:color="auto" w:fill="auto"/>
            <w:tcMar>
              <w:left w:w="108" w:type="dxa"/>
            </w:tcMar>
          </w:tcPr>
          <w:p w:rsidR="00A02C70" w:rsidRDefault="00A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4" w:type="dxa"/>
            <w:gridSpan w:val="14"/>
            <w:shd w:val="clear" w:color="auto" w:fill="auto"/>
            <w:tcMar>
              <w:left w:w="108" w:type="dxa"/>
            </w:tcMar>
            <w:vAlign w:val="bottom"/>
          </w:tcPr>
          <w:p w:rsidR="00A02C70" w:rsidRDefault="0020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Liczba dyscyplin przypisanych do tytułu (AJSC lub WSC)</w:t>
            </w:r>
          </w:p>
        </w:tc>
        <w:tc>
          <w:tcPr>
            <w:tcW w:w="1179" w:type="dxa"/>
            <w:gridSpan w:val="2"/>
            <w:vMerge w:val="restart"/>
            <w:shd w:val="clear" w:color="auto" w:fill="auto"/>
            <w:tcMar>
              <w:left w:w="108" w:type="dxa"/>
            </w:tcMar>
            <w:vAlign w:val="bottom"/>
          </w:tcPr>
          <w:p w:rsidR="00A02C70" w:rsidRDefault="0020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Razem</w:t>
            </w:r>
          </w:p>
          <w:p w:rsidR="00A02C70" w:rsidRDefault="00A0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02C70"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="00A02C70" w:rsidRDefault="00A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A02C70" w:rsidRDefault="0020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9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A02C70" w:rsidRDefault="0020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69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A02C70" w:rsidRDefault="0020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69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A02C70" w:rsidRDefault="0020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15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A02C70" w:rsidRDefault="0020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16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A02C70" w:rsidRDefault="0020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16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A02C70" w:rsidRDefault="0020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80" w:type="dxa"/>
            <w:gridSpan w:val="2"/>
            <w:vMerge/>
            <w:shd w:val="clear" w:color="auto" w:fill="auto"/>
            <w:tcMar>
              <w:left w:w="108" w:type="dxa"/>
            </w:tcMar>
            <w:vAlign w:val="bottom"/>
          </w:tcPr>
          <w:p w:rsidR="00A02C70" w:rsidRDefault="00A0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02C70">
        <w:tc>
          <w:tcPr>
            <w:tcW w:w="864" w:type="dxa"/>
            <w:vMerge/>
            <w:shd w:val="clear" w:color="auto" w:fill="auto"/>
            <w:tcMar>
              <w:left w:w="108" w:type="dxa"/>
            </w:tcMar>
          </w:tcPr>
          <w:p w:rsidR="00A02C70" w:rsidRDefault="00A0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48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48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48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06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10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06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11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06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11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48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29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A02C70">
        <w:tc>
          <w:tcPr>
            <w:tcW w:w="864" w:type="dxa"/>
            <w:shd w:val="clear" w:color="auto" w:fill="auto"/>
            <w:tcMar>
              <w:left w:w="108" w:type="dxa"/>
            </w:tcMar>
            <w:vAlign w:val="bottom"/>
          </w:tcPr>
          <w:p w:rsidR="00A02C70" w:rsidRDefault="0020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WoS</w:t>
            </w:r>
          </w:p>
        </w:tc>
        <w:tc>
          <w:tcPr>
            <w:tcW w:w="448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51%</w:t>
            </w:r>
          </w:p>
        </w:tc>
        <w:tc>
          <w:tcPr>
            <w:tcW w:w="448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32%</w:t>
            </w:r>
          </w:p>
        </w:tc>
        <w:tc>
          <w:tcPr>
            <w:tcW w:w="448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448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406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406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406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448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29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02C70">
        <w:tc>
          <w:tcPr>
            <w:tcW w:w="864" w:type="dxa"/>
            <w:shd w:val="clear" w:color="auto" w:fill="auto"/>
            <w:tcMar>
              <w:left w:w="108" w:type="dxa"/>
            </w:tcMar>
            <w:vAlign w:val="bottom"/>
          </w:tcPr>
          <w:p w:rsidR="00A02C70" w:rsidRDefault="00204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Scopus</w:t>
            </w:r>
          </w:p>
        </w:tc>
        <w:tc>
          <w:tcPr>
            <w:tcW w:w="448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</w:tc>
        <w:tc>
          <w:tcPr>
            <w:tcW w:w="448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  <w:tc>
          <w:tcPr>
            <w:tcW w:w="448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26%</w:t>
            </w:r>
          </w:p>
        </w:tc>
        <w:tc>
          <w:tcPr>
            <w:tcW w:w="448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14%</w:t>
            </w:r>
          </w:p>
        </w:tc>
        <w:tc>
          <w:tcPr>
            <w:tcW w:w="406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  <w:tc>
          <w:tcPr>
            <w:tcW w:w="406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406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448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29" w:type="dxa"/>
            <w:shd w:val="clear" w:color="auto" w:fill="auto"/>
            <w:tcMar>
              <w:left w:w="108" w:type="dxa"/>
            </w:tcMar>
          </w:tcPr>
          <w:p w:rsidR="00A02C70" w:rsidRDefault="002047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A02C70" w:rsidRDefault="002047B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Obliczenia własne</w:t>
      </w:r>
      <w:r w:rsidR="0060187A">
        <w:rPr>
          <w:rFonts w:ascii="Times New Roman" w:hAnsi="Times New Roman" w:cs="Times New Roman"/>
          <w:sz w:val="20"/>
          <w:szCs w:val="20"/>
        </w:rPr>
        <w:t>.</w:t>
      </w:r>
    </w:p>
    <w:p w:rsidR="00A02C70" w:rsidRDefault="00A02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E4A" w:rsidRPr="00AE7E4A" w:rsidRDefault="00AE7E4A" w:rsidP="00AE7E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7E4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Lorem Ipsum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AE7E4A">
        <w:rPr>
          <w:rFonts w:ascii="Times New Roman" w:hAnsi="Times New Roman" w:cs="Times New Roman"/>
          <w:sz w:val="24"/>
          <w:szCs w:val="24"/>
          <w:lang w:val="en-US"/>
        </w:rPr>
        <w:t>popularised</w:t>
      </w:r>
      <w:proofErr w:type="spellEnd"/>
      <w:r w:rsidRPr="00AE7E4A">
        <w:rPr>
          <w:rFonts w:ascii="Times New Roman" w:hAnsi="Times New Roman" w:cs="Times New Roman"/>
          <w:sz w:val="24"/>
          <w:szCs w:val="24"/>
          <w:lang w:val="en-US"/>
        </w:rPr>
        <w:t xml:space="preserve"> in the 1960s with the release of </w:t>
      </w:r>
      <w:proofErr w:type="spellStart"/>
      <w:r w:rsidRPr="00AE7E4A">
        <w:rPr>
          <w:rFonts w:ascii="Times New Roman" w:hAnsi="Times New Roman" w:cs="Times New Roman"/>
          <w:sz w:val="24"/>
          <w:szCs w:val="24"/>
          <w:lang w:val="en-US"/>
        </w:rPr>
        <w:t>Letraset</w:t>
      </w:r>
      <w:proofErr w:type="spellEnd"/>
      <w:r w:rsidRPr="00AE7E4A">
        <w:rPr>
          <w:rFonts w:ascii="Times New Roman" w:hAnsi="Times New Roman" w:cs="Times New Roman"/>
          <w:sz w:val="24"/>
          <w:szCs w:val="24"/>
          <w:lang w:val="en-US"/>
        </w:rPr>
        <w:t xml:space="preserve"> sheets containing Lorem Ipsum passages, and more recently with desktop publishing software like Aldus PageMaker including versions of Lorem Ipsum.</w:t>
      </w:r>
    </w:p>
    <w:p w:rsidR="00B87EFD" w:rsidRPr="00C613C3" w:rsidRDefault="00B87EFD" w:rsidP="0023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3C3">
        <w:rPr>
          <w:rFonts w:ascii="Times New Roman" w:hAnsi="Times New Roman" w:cs="Times New Roman"/>
          <w:sz w:val="24"/>
          <w:szCs w:val="24"/>
        </w:rPr>
        <w:t>…</w:t>
      </w:r>
    </w:p>
    <w:p w:rsidR="00B87EFD" w:rsidRPr="00C613C3" w:rsidRDefault="00B87EFD" w:rsidP="00232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3C3">
        <w:rPr>
          <w:rFonts w:ascii="Times New Roman" w:hAnsi="Times New Roman" w:cs="Times New Roman"/>
          <w:sz w:val="24"/>
          <w:szCs w:val="24"/>
        </w:rPr>
        <w:t>…</w:t>
      </w:r>
    </w:p>
    <w:p w:rsidR="00A02C70" w:rsidRDefault="00A02C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02C70" w:rsidRDefault="002047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Wykres 1</w:t>
      </w:r>
      <w:r w:rsidR="00B95321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Wybrane wskaźniki wpływu czasopism z grupy LIS</w:t>
      </w:r>
    </w:p>
    <w:p w:rsidR="00A02C70" w:rsidRDefault="00204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508625" cy="3928110"/>
            <wp:effectExtent l="0" t="0" r="0" b="0"/>
            <wp:docPr id="1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625" cy="392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C70" w:rsidRDefault="002047B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Źródło: obliczenia własne. N=259 – analizowany zbiór obejmował wszystkie tytuły należące w Scopus (2019) do kategorii 3309 oraz wszystkie należące w WOS (2019) do kategorii NU. </w:t>
      </w:r>
    </w:p>
    <w:p w:rsidR="00A02C70" w:rsidRPr="00C54579" w:rsidRDefault="00A02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7E4A" w:rsidRPr="00AE7E4A" w:rsidRDefault="00AE7E4A" w:rsidP="00AE7E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7E4A">
        <w:rPr>
          <w:rFonts w:ascii="Times New Roman" w:hAnsi="Times New Roman" w:cs="Times New Roman"/>
          <w:sz w:val="24"/>
          <w:szCs w:val="24"/>
          <w:lang w:val="en-US"/>
        </w:rPr>
        <w:t xml:space="preserve">Lorem Ipsum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AE7E4A">
        <w:rPr>
          <w:rFonts w:ascii="Times New Roman" w:hAnsi="Times New Roman" w:cs="Times New Roman"/>
          <w:sz w:val="24"/>
          <w:szCs w:val="24"/>
          <w:lang w:val="en-US"/>
        </w:rPr>
        <w:t>popularised</w:t>
      </w:r>
      <w:proofErr w:type="spellEnd"/>
      <w:r w:rsidRPr="00AE7E4A">
        <w:rPr>
          <w:rFonts w:ascii="Times New Roman" w:hAnsi="Times New Roman" w:cs="Times New Roman"/>
          <w:sz w:val="24"/>
          <w:szCs w:val="24"/>
          <w:lang w:val="en-US"/>
        </w:rPr>
        <w:t xml:space="preserve"> in the 1960s with the release of </w:t>
      </w:r>
      <w:proofErr w:type="spellStart"/>
      <w:r w:rsidRPr="00AE7E4A">
        <w:rPr>
          <w:rFonts w:ascii="Times New Roman" w:hAnsi="Times New Roman" w:cs="Times New Roman"/>
          <w:sz w:val="24"/>
          <w:szCs w:val="24"/>
          <w:lang w:val="en-US"/>
        </w:rPr>
        <w:t>Letraset</w:t>
      </w:r>
      <w:proofErr w:type="spellEnd"/>
      <w:r w:rsidRPr="00AE7E4A">
        <w:rPr>
          <w:rFonts w:ascii="Times New Roman" w:hAnsi="Times New Roman" w:cs="Times New Roman"/>
          <w:sz w:val="24"/>
          <w:szCs w:val="24"/>
          <w:lang w:val="en-US"/>
        </w:rPr>
        <w:t xml:space="preserve"> sheets containing Lorem Ipsum passages, and more recently with desktop publishing software like Aldus PageMaker including versions of Lorem Ipsum.</w:t>
      </w:r>
    </w:p>
    <w:p w:rsidR="00B93627" w:rsidRPr="00C613C3" w:rsidRDefault="00B936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13C3">
        <w:rPr>
          <w:rFonts w:ascii="Times New Roman" w:hAnsi="Times New Roman" w:cs="Times New Roman"/>
          <w:sz w:val="24"/>
          <w:szCs w:val="24"/>
          <w:lang w:val="en-US"/>
        </w:rPr>
        <w:lastRenderedPageBreak/>
        <w:t>…</w:t>
      </w:r>
    </w:p>
    <w:p w:rsidR="00A02C70" w:rsidRPr="00C613C3" w:rsidRDefault="00B936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13C3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A02C70" w:rsidRPr="00C613C3" w:rsidRDefault="00A02C7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A02C70" w:rsidRPr="00C613C3" w:rsidRDefault="002047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13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proofErr w:type="spellStart"/>
      <w:r w:rsidRPr="00C613C3">
        <w:rPr>
          <w:rFonts w:ascii="Times New Roman" w:hAnsi="Times New Roman" w:cs="Times New Roman"/>
          <w:b/>
          <w:sz w:val="24"/>
          <w:szCs w:val="24"/>
          <w:lang w:val="en-US"/>
        </w:rPr>
        <w:t>Wnioski</w:t>
      </w:r>
      <w:proofErr w:type="spellEnd"/>
    </w:p>
    <w:p w:rsidR="00A02C70" w:rsidRPr="00C613C3" w:rsidRDefault="00A02C7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3F7376" w:rsidRDefault="003F7376" w:rsidP="003F73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7E4A">
        <w:rPr>
          <w:rFonts w:ascii="Times New Roman" w:hAnsi="Times New Roman" w:cs="Times New Roman"/>
          <w:sz w:val="24"/>
          <w:szCs w:val="24"/>
          <w:lang w:val="en-US"/>
        </w:rPr>
        <w:t xml:space="preserve">Lorem Ipsum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AE7E4A">
        <w:rPr>
          <w:rFonts w:ascii="Times New Roman" w:hAnsi="Times New Roman" w:cs="Times New Roman"/>
          <w:sz w:val="24"/>
          <w:szCs w:val="24"/>
          <w:lang w:val="en-US"/>
        </w:rPr>
        <w:t>popularised</w:t>
      </w:r>
      <w:proofErr w:type="spellEnd"/>
      <w:r w:rsidRPr="00AE7E4A">
        <w:rPr>
          <w:rFonts w:ascii="Times New Roman" w:hAnsi="Times New Roman" w:cs="Times New Roman"/>
          <w:sz w:val="24"/>
          <w:szCs w:val="24"/>
          <w:lang w:val="en-US"/>
        </w:rPr>
        <w:t xml:space="preserve"> in the 1960s with the release of </w:t>
      </w:r>
      <w:proofErr w:type="spellStart"/>
      <w:r w:rsidRPr="00AE7E4A">
        <w:rPr>
          <w:rFonts w:ascii="Times New Roman" w:hAnsi="Times New Roman" w:cs="Times New Roman"/>
          <w:sz w:val="24"/>
          <w:szCs w:val="24"/>
          <w:lang w:val="en-US"/>
        </w:rPr>
        <w:t>Letraset</w:t>
      </w:r>
      <w:proofErr w:type="spellEnd"/>
      <w:r w:rsidRPr="00AE7E4A">
        <w:rPr>
          <w:rFonts w:ascii="Times New Roman" w:hAnsi="Times New Roman" w:cs="Times New Roman"/>
          <w:sz w:val="24"/>
          <w:szCs w:val="24"/>
          <w:lang w:val="en-US"/>
        </w:rPr>
        <w:t xml:space="preserve"> sheets containing Lorem Ipsum passages, and more recently with desktop publishing software like Aldus PageMaker including versions of Lorem Ipsum.</w:t>
      </w:r>
    </w:p>
    <w:p w:rsidR="003F7376" w:rsidRDefault="003F7376" w:rsidP="003F73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3F7376" w:rsidRDefault="003F7376" w:rsidP="003F73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3F7376" w:rsidRPr="00AE7E4A" w:rsidRDefault="003F7376" w:rsidP="003F73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02C70" w:rsidRPr="00B95321" w:rsidRDefault="002047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95321">
        <w:rPr>
          <w:rFonts w:ascii="Times New Roman" w:hAnsi="Times New Roman" w:cs="Times New Roman"/>
          <w:b/>
          <w:sz w:val="24"/>
          <w:szCs w:val="24"/>
          <w:lang w:val="en-US"/>
        </w:rPr>
        <w:t>Bibliografia</w:t>
      </w:r>
      <w:proofErr w:type="spellEnd"/>
    </w:p>
    <w:p w:rsidR="00A02C70" w:rsidRPr="00B95321" w:rsidRDefault="002047B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B95321">
        <w:rPr>
          <w:rFonts w:ascii="Times New Roman" w:hAnsi="Times New Roman" w:cs="Times New Roman"/>
          <w:sz w:val="20"/>
          <w:szCs w:val="20"/>
          <w:lang w:val="en-US"/>
        </w:rPr>
        <w:t>Abrizah</w:t>
      </w:r>
      <w:proofErr w:type="spellEnd"/>
      <w:r w:rsidRPr="00B95321">
        <w:rPr>
          <w:rFonts w:ascii="Times New Roman" w:hAnsi="Times New Roman" w:cs="Times New Roman"/>
          <w:sz w:val="20"/>
          <w:szCs w:val="20"/>
          <w:lang w:val="en-US"/>
        </w:rPr>
        <w:t xml:space="preserve"> A., Zainab A.N., Kiran K. &amp; Raj R.G., </w:t>
      </w:r>
      <w:r w:rsidRPr="00B95321">
        <w:rPr>
          <w:rFonts w:ascii="Times New Roman" w:hAnsi="Times New Roman" w:cs="Times New Roman"/>
          <w:i/>
          <w:sz w:val="20"/>
          <w:szCs w:val="20"/>
          <w:lang w:val="en-US"/>
        </w:rPr>
        <w:t>LIS journals scientific impact and subject categorization: A comparison between Web of Science and Scopus</w:t>
      </w:r>
      <w:r w:rsidRPr="00B95321">
        <w:rPr>
          <w:rFonts w:ascii="Times New Roman" w:hAnsi="Times New Roman" w:cs="Times New Roman"/>
          <w:sz w:val="20"/>
          <w:szCs w:val="20"/>
          <w:lang w:val="en-US"/>
        </w:rPr>
        <w:t>, „</w:t>
      </w:r>
      <w:proofErr w:type="spellStart"/>
      <w:r w:rsidRPr="00B95321">
        <w:rPr>
          <w:rFonts w:ascii="Times New Roman" w:hAnsi="Times New Roman" w:cs="Times New Roman"/>
          <w:sz w:val="20"/>
          <w:szCs w:val="20"/>
          <w:lang w:val="en-US"/>
        </w:rPr>
        <w:t>Scientometrics</w:t>
      </w:r>
      <w:proofErr w:type="spellEnd"/>
      <w:r w:rsidRPr="00B95321">
        <w:rPr>
          <w:rFonts w:ascii="Times New Roman" w:hAnsi="Times New Roman" w:cs="Times New Roman"/>
          <w:sz w:val="20"/>
          <w:szCs w:val="20"/>
          <w:lang w:val="en-US"/>
        </w:rPr>
        <w:t xml:space="preserve">” 2013, </w:t>
      </w:r>
      <w:r w:rsidR="00FA12C1">
        <w:rPr>
          <w:rFonts w:ascii="Times New Roman" w:hAnsi="Times New Roman" w:cs="Times New Roman"/>
          <w:sz w:val="20"/>
          <w:szCs w:val="20"/>
          <w:lang w:val="en-US"/>
        </w:rPr>
        <w:t xml:space="preserve">vol. </w:t>
      </w:r>
      <w:r w:rsidRPr="00B95321">
        <w:rPr>
          <w:rFonts w:ascii="Times New Roman" w:hAnsi="Times New Roman" w:cs="Times New Roman"/>
          <w:sz w:val="20"/>
          <w:szCs w:val="20"/>
          <w:lang w:val="en-US"/>
        </w:rPr>
        <w:t>94</w:t>
      </w:r>
      <w:r w:rsidR="00FA12C1">
        <w:rPr>
          <w:rFonts w:ascii="Times New Roman" w:hAnsi="Times New Roman" w:cs="Times New Roman"/>
          <w:sz w:val="20"/>
          <w:szCs w:val="20"/>
          <w:lang w:val="en-US"/>
        </w:rPr>
        <w:t xml:space="preserve">, no. </w:t>
      </w:r>
      <w:r w:rsidRPr="00B95321">
        <w:rPr>
          <w:rFonts w:ascii="Times New Roman" w:hAnsi="Times New Roman" w:cs="Times New Roman"/>
          <w:sz w:val="20"/>
          <w:szCs w:val="20"/>
          <w:lang w:val="en-US"/>
        </w:rPr>
        <w:t>2, s. 721–740, doi</w:t>
      </w:r>
      <w:proofErr w:type="gramStart"/>
      <w:r w:rsidRPr="00B95321">
        <w:rPr>
          <w:rFonts w:ascii="Times New Roman" w:hAnsi="Times New Roman" w:cs="Times New Roman"/>
          <w:sz w:val="20"/>
          <w:szCs w:val="20"/>
          <w:lang w:val="en-US"/>
        </w:rPr>
        <w:t>:10.1007</w:t>
      </w:r>
      <w:proofErr w:type="gramEnd"/>
      <w:r w:rsidRPr="00B95321">
        <w:rPr>
          <w:rFonts w:ascii="Times New Roman" w:hAnsi="Times New Roman" w:cs="Times New Roman"/>
          <w:sz w:val="20"/>
          <w:szCs w:val="20"/>
          <w:lang w:val="en-US"/>
        </w:rPr>
        <w:t>/s11192-012-0813-7.</w:t>
      </w:r>
    </w:p>
    <w:p w:rsidR="00A02C70" w:rsidRPr="00B95321" w:rsidRDefault="002047B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B95321">
        <w:rPr>
          <w:rFonts w:ascii="Times New Roman" w:hAnsi="Times New Roman" w:cs="Times New Roman"/>
          <w:sz w:val="20"/>
          <w:szCs w:val="20"/>
          <w:lang w:val="en-US"/>
        </w:rPr>
        <w:t>Bornmann</w:t>
      </w:r>
      <w:proofErr w:type="spellEnd"/>
      <w:r w:rsidRPr="00B95321">
        <w:rPr>
          <w:rFonts w:ascii="Times New Roman" w:hAnsi="Times New Roman" w:cs="Times New Roman"/>
          <w:sz w:val="20"/>
          <w:szCs w:val="20"/>
          <w:lang w:val="en-US"/>
        </w:rPr>
        <w:t xml:space="preserve"> L. &amp; Daniel H.-D., </w:t>
      </w:r>
      <w:r w:rsidRPr="00B95321">
        <w:rPr>
          <w:rFonts w:ascii="Times New Roman" w:hAnsi="Times New Roman" w:cs="Times New Roman"/>
          <w:i/>
          <w:sz w:val="20"/>
          <w:szCs w:val="20"/>
          <w:lang w:val="en-US"/>
        </w:rPr>
        <w:t xml:space="preserve">What do we know about </w:t>
      </w:r>
      <w:proofErr w:type="spellStart"/>
      <w:r w:rsidRPr="00B95321">
        <w:rPr>
          <w:rFonts w:ascii="Times New Roman" w:hAnsi="Times New Roman" w:cs="Times New Roman"/>
          <w:i/>
          <w:sz w:val="20"/>
          <w:szCs w:val="20"/>
          <w:lang w:val="en-US"/>
        </w:rPr>
        <w:t>theh</w:t>
      </w:r>
      <w:proofErr w:type="spellEnd"/>
      <w:r w:rsidRPr="00B95321">
        <w:rPr>
          <w:rFonts w:ascii="Times New Roman" w:hAnsi="Times New Roman" w:cs="Times New Roman"/>
          <w:i/>
          <w:sz w:val="20"/>
          <w:szCs w:val="20"/>
          <w:lang w:val="en-US"/>
        </w:rPr>
        <w:t xml:space="preserve"> index?</w:t>
      </w:r>
      <w:r w:rsidRPr="00B95321">
        <w:rPr>
          <w:rFonts w:ascii="Times New Roman" w:hAnsi="Times New Roman" w:cs="Times New Roman"/>
          <w:sz w:val="20"/>
          <w:szCs w:val="20"/>
          <w:lang w:val="en-US"/>
        </w:rPr>
        <w:t xml:space="preserve"> „Journal of the American Society for Information Science and Technology” 2007, </w:t>
      </w:r>
      <w:r w:rsidR="00FA12C1">
        <w:rPr>
          <w:rFonts w:ascii="Times New Roman" w:hAnsi="Times New Roman" w:cs="Times New Roman"/>
          <w:sz w:val="20"/>
          <w:szCs w:val="20"/>
          <w:lang w:val="en-US"/>
        </w:rPr>
        <w:t xml:space="preserve">vol. </w:t>
      </w:r>
      <w:r w:rsidRPr="00B95321">
        <w:rPr>
          <w:rFonts w:ascii="Times New Roman" w:hAnsi="Times New Roman" w:cs="Times New Roman"/>
          <w:sz w:val="20"/>
          <w:szCs w:val="20"/>
          <w:lang w:val="en-US"/>
        </w:rPr>
        <w:t>58</w:t>
      </w:r>
      <w:r w:rsidR="00FA12C1">
        <w:rPr>
          <w:rFonts w:ascii="Times New Roman" w:hAnsi="Times New Roman" w:cs="Times New Roman"/>
          <w:sz w:val="20"/>
          <w:szCs w:val="20"/>
          <w:lang w:val="en-US"/>
        </w:rPr>
        <w:t xml:space="preserve"> no. </w:t>
      </w:r>
      <w:r w:rsidRPr="00B95321">
        <w:rPr>
          <w:rFonts w:ascii="Times New Roman" w:hAnsi="Times New Roman" w:cs="Times New Roman"/>
          <w:sz w:val="20"/>
          <w:szCs w:val="20"/>
          <w:lang w:val="en-US"/>
        </w:rPr>
        <w:t xml:space="preserve">9, </w:t>
      </w:r>
      <w:r w:rsidR="00FA12C1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B95321">
        <w:rPr>
          <w:rFonts w:ascii="Times New Roman" w:hAnsi="Times New Roman" w:cs="Times New Roman"/>
          <w:sz w:val="20"/>
          <w:szCs w:val="20"/>
          <w:lang w:val="en-US"/>
        </w:rPr>
        <w:t>. 1381–1385, doi:10.1002/asi.20609.</w:t>
      </w:r>
    </w:p>
    <w:p w:rsidR="00A02C70" w:rsidRPr="00B95321" w:rsidRDefault="002047B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95321">
        <w:rPr>
          <w:rFonts w:ascii="Times New Roman" w:hAnsi="Times New Roman" w:cs="Times New Roman"/>
          <w:sz w:val="20"/>
          <w:szCs w:val="20"/>
          <w:lang w:val="en-US"/>
        </w:rPr>
        <w:t xml:space="preserve">Chang Y.W., </w:t>
      </w:r>
      <w:r w:rsidRPr="00B95321">
        <w:rPr>
          <w:rFonts w:ascii="Times New Roman" w:hAnsi="Times New Roman" w:cs="Times New Roman"/>
          <w:i/>
          <w:sz w:val="20"/>
          <w:szCs w:val="20"/>
          <w:lang w:val="en-US"/>
        </w:rPr>
        <w:t>Exploring the interdisciplinary characteristics of library and information science (LIS) from the perspective of interdisciplinary LIS authors</w:t>
      </w:r>
      <w:r w:rsidRPr="00B95321">
        <w:rPr>
          <w:rFonts w:ascii="Times New Roman" w:hAnsi="Times New Roman" w:cs="Times New Roman"/>
          <w:sz w:val="20"/>
          <w:szCs w:val="20"/>
          <w:lang w:val="en-US"/>
        </w:rPr>
        <w:t xml:space="preserve">, „Library &amp; Information Science Research” 2018, </w:t>
      </w:r>
      <w:r w:rsidR="00FA12C1">
        <w:rPr>
          <w:rFonts w:ascii="Times New Roman" w:hAnsi="Times New Roman" w:cs="Times New Roman"/>
          <w:sz w:val="20"/>
          <w:szCs w:val="20"/>
          <w:lang w:val="en-US"/>
        </w:rPr>
        <w:t xml:space="preserve">vol. </w:t>
      </w:r>
      <w:r w:rsidRPr="00B95321">
        <w:rPr>
          <w:rFonts w:ascii="Times New Roman" w:hAnsi="Times New Roman" w:cs="Times New Roman"/>
          <w:sz w:val="20"/>
          <w:szCs w:val="20"/>
          <w:lang w:val="en-US"/>
        </w:rPr>
        <w:t>40</w:t>
      </w:r>
      <w:r w:rsidR="00FA12C1">
        <w:rPr>
          <w:rFonts w:ascii="Times New Roman" w:hAnsi="Times New Roman" w:cs="Times New Roman"/>
          <w:sz w:val="20"/>
          <w:szCs w:val="20"/>
          <w:lang w:val="en-US"/>
        </w:rPr>
        <w:t xml:space="preserve">, no. </w:t>
      </w:r>
      <w:r w:rsidRPr="00B95321">
        <w:rPr>
          <w:rFonts w:ascii="Times New Roman" w:hAnsi="Times New Roman" w:cs="Times New Roman"/>
          <w:sz w:val="20"/>
          <w:szCs w:val="20"/>
          <w:lang w:val="en-US"/>
        </w:rPr>
        <w:t xml:space="preserve">2, s. 125-134, </w:t>
      </w:r>
      <w:proofErr w:type="spellStart"/>
      <w:r w:rsidRPr="00B95321">
        <w:rPr>
          <w:rFonts w:ascii="Times New Roman" w:hAnsi="Times New Roman" w:cs="Times New Roman"/>
          <w:sz w:val="20"/>
          <w:szCs w:val="20"/>
          <w:lang w:val="en-US"/>
        </w:rPr>
        <w:t>doi</w:t>
      </w:r>
      <w:proofErr w:type="spellEnd"/>
      <w:r w:rsidRPr="00B95321">
        <w:rPr>
          <w:rFonts w:ascii="Times New Roman" w:hAnsi="Times New Roman" w:cs="Times New Roman"/>
          <w:sz w:val="20"/>
          <w:szCs w:val="20"/>
          <w:lang w:val="en-US"/>
        </w:rPr>
        <w:t>: j.lisr.2018.06.004</w:t>
      </w:r>
    </w:p>
    <w:p w:rsidR="00A02C70" w:rsidRDefault="002047B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Jabłonowski M., Mielczarek T., </w:t>
      </w:r>
      <w:r>
        <w:rPr>
          <w:rFonts w:ascii="Times New Roman" w:hAnsi="Times New Roman" w:cs="Times New Roman"/>
          <w:i/>
          <w:sz w:val="20"/>
          <w:szCs w:val="20"/>
        </w:rPr>
        <w:t>Komunikowanie społeczne i media – federacja, a nie inkorporacja</w:t>
      </w:r>
      <w:r>
        <w:rPr>
          <w:rFonts w:ascii="Times New Roman" w:hAnsi="Times New Roman" w:cs="Times New Roman"/>
          <w:sz w:val="20"/>
          <w:szCs w:val="20"/>
        </w:rPr>
        <w:t>, „Studia Medioznawcze” 2018, nr 4, s. 13-27, doi: 10.33077/</w:t>
      </w:r>
      <w:proofErr w:type="gramStart"/>
      <w:r>
        <w:rPr>
          <w:rFonts w:ascii="Times New Roman" w:hAnsi="Times New Roman" w:cs="Times New Roman"/>
          <w:sz w:val="20"/>
          <w:szCs w:val="20"/>
        </w:rPr>
        <w:t>uw</w:t>
      </w:r>
      <w:proofErr w:type="gramEnd"/>
      <w:r>
        <w:rPr>
          <w:rFonts w:ascii="Times New Roman" w:hAnsi="Times New Roman" w:cs="Times New Roman"/>
          <w:sz w:val="20"/>
          <w:szCs w:val="20"/>
        </w:rPr>
        <w:t>.24511617.ms.2018.4.34.</w:t>
      </w:r>
    </w:p>
    <w:p w:rsidR="00A02C70" w:rsidRDefault="002047B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Kolasa W.M., </w:t>
      </w:r>
      <w:r>
        <w:rPr>
          <w:rFonts w:ascii="Times New Roman" w:hAnsi="Times New Roman" w:cs="Times New Roman"/>
          <w:i/>
          <w:sz w:val="20"/>
          <w:szCs w:val="20"/>
        </w:rPr>
        <w:t xml:space="preserve">Historiografia prasy polskiej (do 1918 roku):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naukometryczna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analiza dyscypliny 1945-2009</w:t>
      </w:r>
      <w:r>
        <w:rPr>
          <w:rFonts w:ascii="Times New Roman" w:hAnsi="Times New Roman" w:cs="Times New Roman"/>
          <w:sz w:val="20"/>
          <w:szCs w:val="20"/>
        </w:rPr>
        <w:t>. Kraków 2013.</w:t>
      </w:r>
    </w:p>
    <w:p w:rsidR="00A02C70" w:rsidRDefault="002047B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Kordeczuk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B., Woźniak-Kasperek J., </w:t>
      </w:r>
      <w:r>
        <w:rPr>
          <w:rFonts w:ascii="Times New Roman" w:hAnsi="Times New Roman" w:cs="Times New Roman"/>
          <w:i/>
          <w:sz w:val="20"/>
          <w:szCs w:val="20"/>
        </w:rPr>
        <w:t>Bibliologia i informatologia w naukach o komunikacji społecznej i mediach – odrębność czy komplementarność</w:t>
      </w:r>
      <w:r>
        <w:rPr>
          <w:rFonts w:ascii="Times New Roman" w:hAnsi="Times New Roman" w:cs="Times New Roman"/>
          <w:sz w:val="20"/>
          <w:szCs w:val="20"/>
        </w:rPr>
        <w:t>, „Studia Medioznawcze” 2019, nr 3, s. 212-224, doi: 10.33077/</w:t>
      </w:r>
      <w:proofErr w:type="gramStart"/>
      <w:r>
        <w:rPr>
          <w:rFonts w:ascii="Times New Roman" w:hAnsi="Times New Roman" w:cs="Times New Roman"/>
          <w:sz w:val="20"/>
          <w:szCs w:val="20"/>
        </w:rPr>
        <w:t>uw</w:t>
      </w:r>
      <w:proofErr w:type="gramEnd"/>
      <w:r>
        <w:rPr>
          <w:rFonts w:ascii="Times New Roman" w:hAnsi="Times New Roman" w:cs="Times New Roman"/>
          <w:sz w:val="20"/>
          <w:szCs w:val="20"/>
        </w:rPr>
        <w:t>.24511617.ms.2019.3.124</w:t>
      </w:r>
      <w:r w:rsidR="0060187A">
        <w:rPr>
          <w:rFonts w:ascii="Times New Roman" w:hAnsi="Times New Roman" w:cs="Times New Roman"/>
          <w:sz w:val="20"/>
          <w:szCs w:val="20"/>
        </w:rPr>
        <w:t>.</w:t>
      </w:r>
    </w:p>
    <w:p w:rsidR="00A02C70" w:rsidRDefault="002047B2">
      <w:pPr>
        <w:spacing w:after="0" w:line="240" w:lineRule="auto"/>
        <w:ind w:left="709" w:hanging="709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Ziółkowski P., </w:t>
      </w:r>
      <w:r>
        <w:rPr>
          <w:rFonts w:ascii="Times New Roman" w:hAnsi="Times New Roman" w:cs="Times New Roman"/>
          <w:i/>
          <w:sz w:val="20"/>
          <w:szCs w:val="20"/>
        </w:rPr>
        <w:t>Reforma szkolnictwa wyższego i nauki – główne zmiany w systemie dotyczące uczelni publicznych</w:t>
      </w:r>
      <w:r>
        <w:rPr>
          <w:rFonts w:ascii="Times New Roman" w:hAnsi="Times New Roman" w:cs="Times New Roman"/>
          <w:sz w:val="20"/>
          <w:szCs w:val="20"/>
        </w:rPr>
        <w:t>, „</w:t>
      </w:r>
      <w:proofErr w:type="spellStart"/>
      <w:r>
        <w:rPr>
          <w:rFonts w:ascii="Times New Roman" w:hAnsi="Times New Roman" w:cs="Times New Roman"/>
          <w:sz w:val="20"/>
          <w:szCs w:val="20"/>
        </w:rPr>
        <w:t>Annales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Universitatis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Paedagogicae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Cracoviensis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Studia </w:t>
      </w:r>
      <w:proofErr w:type="spellStart"/>
      <w:r>
        <w:rPr>
          <w:rFonts w:ascii="Times New Roman" w:hAnsi="Times New Roman" w:cs="Times New Roman"/>
          <w:sz w:val="20"/>
          <w:szCs w:val="20"/>
        </w:rPr>
        <w:t>Politologica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” 2018, </w:t>
      </w:r>
      <w:r w:rsidR="00FA12C1">
        <w:rPr>
          <w:rFonts w:ascii="Times New Roman" w:hAnsi="Times New Roman" w:cs="Times New Roman"/>
          <w:sz w:val="20"/>
          <w:szCs w:val="20"/>
        </w:rPr>
        <w:t>t.</w:t>
      </w:r>
      <w:r>
        <w:rPr>
          <w:rFonts w:ascii="Times New Roman" w:hAnsi="Times New Roman" w:cs="Times New Roman"/>
          <w:sz w:val="20"/>
          <w:szCs w:val="20"/>
        </w:rPr>
        <w:t xml:space="preserve"> 20</w:t>
      </w:r>
      <w:r w:rsidR="00FA12C1">
        <w:rPr>
          <w:rFonts w:ascii="Times New Roman" w:hAnsi="Times New Roman" w:cs="Times New Roman"/>
          <w:sz w:val="20"/>
          <w:szCs w:val="20"/>
        </w:rPr>
        <w:t>, nr 74</w:t>
      </w:r>
      <w:r>
        <w:rPr>
          <w:rFonts w:ascii="Times New Roman" w:hAnsi="Times New Roman" w:cs="Times New Roman"/>
          <w:sz w:val="20"/>
          <w:szCs w:val="20"/>
        </w:rPr>
        <w:t>, s. 79-86, doi: 10.24917/20813333.20.7.</w:t>
      </w:r>
    </w:p>
    <w:sectPr w:rsidR="00A02C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8D2" w:rsidRDefault="009178D2">
      <w:pPr>
        <w:spacing w:after="0" w:line="240" w:lineRule="auto"/>
      </w:pPr>
      <w:r>
        <w:separator/>
      </w:r>
    </w:p>
  </w:endnote>
  <w:endnote w:type="continuationSeparator" w:id="0">
    <w:p w:rsidR="009178D2" w:rsidRDefault="00917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2DF" w:rsidRDefault="00AD72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2DF" w:rsidRDefault="00AD72D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2DF" w:rsidRDefault="00AD72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8D2" w:rsidRDefault="009178D2">
      <w:r>
        <w:separator/>
      </w:r>
    </w:p>
  </w:footnote>
  <w:footnote w:type="continuationSeparator" w:id="0">
    <w:p w:rsidR="009178D2" w:rsidRDefault="009178D2">
      <w:r>
        <w:continuationSeparator/>
      </w:r>
    </w:p>
  </w:footnote>
  <w:footnote w:id="1">
    <w:p w:rsidR="00F77969" w:rsidRPr="00C613C3" w:rsidRDefault="00F77969" w:rsidP="00F77969">
      <w:pPr>
        <w:pStyle w:val="Tekstprzypisudolnego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30629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A30629">
        <w:rPr>
          <w:rFonts w:ascii="Times New Roman" w:hAnsi="Times New Roman" w:cs="Times New Roman"/>
          <w:sz w:val="20"/>
          <w:szCs w:val="20"/>
        </w:rPr>
        <w:t xml:space="preserve"> P. Ziółkowski, </w:t>
      </w:r>
      <w:r w:rsidRPr="00A30629">
        <w:rPr>
          <w:rFonts w:ascii="Times New Roman" w:hAnsi="Times New Roman" w:cs="Times New Roman"/>
          <w:i/>
          <w:sz w:val="20"/>
          <w:szCs w:val="20"/>
        </w:rPr>
        <w:t>Reforma szkolnictwa wyższego i nauki – główne zmiany w systemie dotyczące uczelni publicznych</w:t>
      </w:r>
      <w:r w:rsidRPr="00A30629">
        <w:rPr>
          <w:rFonts w:ascii="Times New Roman" w:hAnsi="Times New Roman" w:cs="Times New Roman"/>
          <w:sz w:val="20"/>
          <w:szCs w:val="20"/>
        </w:rPr>
        <w:t>, „</w:t>
      </w:r>
      <w:proofErr w:type="spellStart"/>
      <w:r w:rsidRPr="00A30629">
        <w:rPr>
          <w:rFonts w:ascii="Times New Roman" w:hAnsi="Times New Roman" w:cs="Times New Roman"/>
          <w:sz w:val="20"/>
          <w:szCs w:val="20"/>
        </w:rPr>
        <w:t>Annales</w:t>
      </w:r>
      <w:proofErr w:type="spellEnd"/>
      <w:r w:rsidRPr="00A306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0629">
        <w:rPr>
          <w:rFonts w:ascii="Times New Roman" w:hAnsi="Times New Roman" w:cs="Times New Roman"/>
          <w:sz w:val="20"/>
          <w:szCs w:val="20"/>
        </w:rPr>
        <w:t>Universitatis</w:t>
      </w:r>
      <w:proofErr w:type="spellEnd"/>
      <w:r w:rsidRPr="00A306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0629">
        <w:rPr>
          <w:rFonts w:ascii="Times New Roman" w:hAnsi="Times New Roman" w:cs="Times New Roman"/>
          <w:sz w:val="20"/>
          <w:szCs w:val="20"/>
        </w:rPr>
        <w:t>Paedagogicae</w:t>
      </w:r>
      <w:proofErr w:type="spellEnd"/>
      <w:r w:rsidRPr="00A3062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0629">
        <w:rPr>
          <w:rFonts w:ascii="Times New Roman" w:hAnsi="Times New Roman" w:cs="Times New Roman"/>
          <w:sz w:val="20"/>
          <w:szCs w:val="20"/>
        </w:rPr>
        <w:t>Cracoviensis</w:t>
      </w:r>
      <w:proofErr w:type="spellEnd"/>
      <w:r w:rsidRPr="00A30629">
        <w:rPr>
          <w:rFonts w:ascii="Times New Roman" w:hAnsi="Times New Roman" w:cs="Times New Roman"/>
          <w:sz w:val="20"/>
          <w:szCs w:val="20"/>
        </w:rPr>
        <w:t xml:space="preserve">. </w:t>
      </w:r>
      <w:r w:rsidRPr="00C613C3">
        <w:rPr>
          <w:rFonts w:ascii="Times New Roman" w:hAnsi="Times New Roman" w:cs="Times New Roman"/>
          <w:sz w:val="20"/>
          <w:szCs w:val="20"/>
          <w:lang w:val="en-US"/>
        </w:rPr>
        <w:t>Studia Politologica” 2018, t</w:t>
      </w:r>
      <w:r w:rsidR="00CE1641" w:rsidRPr="00C613C3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C613C3">
        <w:rPr>
          <w:rFonts w:ascii="Times New Roman" w:hAnsi="Times New Roman" w:cs="Times New Roman"/>
          <w:sz w:val="20"/>
          <w:szCs w:val="20"/>
          <w:lang w:val="en-US"/>
        </w:rPr>
        <w:t xml:space="preserve"> 20, nr 74, s. 79–86.</w:t>
      </w:r>
    </w:p>
  </w:footnote>
  <w:footnote w:id="2">
    <w:p w:rsidR="00F77969" w:rsidRPr="00B95321" w:rsidRDefault="00F77969" w:rsidP="00F77969">
      <w:pPr>
        <w:pStyle w:val="Tekstprzypisudolnego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30629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B9532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30629">
        <w:rPr>
          <w:rFonts w:ascii="Times New Roman" w:hAnsi="Times New Roman" w:cs="Times New Roman"/>
          <w:sz w:val="20"/>
          <w:szCs w:val="20"/>
          <w:lang w:val="en-US"/>
        </w:rPr>
        <w:t xml:space="preserve">X. Han, </w:t>
      </w:r>
      <w:r w:rsidRPr="00A30629">
        <w:rPr>
          <w:rFonts w:ascii="Times New Roman" w:hAnsi="Times New Roman" w:cs="Times New Roman"/>
          <w:i/>
          <w:sz w:val="20"/>
          <w:szCs w:val="20"/>
          <w:lang w:val="en-US"/>
        </w:rPr>
        <w:t xml:space="preserve">Evolution of Research Topics in LIS between 1996 and 2019: An Analysis Based on Latent </w:t>
      </w:r>
      <w:proofErr w:type="spellStart"/>
      <w:r w:rsidRPr="00A30629">
        <w:rPr>
          <w:rFonts w:ascii="Times New Roman" w:hAnsi="Times New Roman" w:cs="Times New Roman"/>
          <w:i/>
          <w:sz w:val="20"/>
          <w:szCs w:val="20"/>
          <w:lang w:val="en-US"/>
        </w:rPr>
        <w:t>Dirichlet</w:t>
      </w:r>
      <w:proofErr w:type="spellEnd"/>
      <w:r w:rsidRPr="00A30629">
        <w:rPr>
          <w:rFonts w:ascii="Times New Roman" w:hAnsi="Times New Roman" w:cs="Times New Roman"/>
          <w:i/>
          <w:sz w:val="20"/>
          <w:szCs w:val="20"/>
          <w:lang w:val="en-US"/>
        </w:rPr>
        <w:t xml:space="preserve"> Allocation Topic Model</w:t>
      </w:r>
      <w:r w:rsidRPr="00A30629">
        <w:rPr>
          <w:rFonts w:ascii="Times New Roman" w:hAnsi="Times New Roman" w:cs="Times New Roman"/>
          <w:sz w:val="20"/>
          <w:szCs w:val="20"/>
          <w:lang w:val="en-US"/>
        </w:rPr>
        <w:t>, „</w:t>
      </w:r>
      <w:proofErr w:type="spellStart"/>
      <w:r w:rsidRPr="00A30629">
        <w:rPr>
          <w:rFonts w:ascii="Times New Roman" w:hAnsi="Times New Roman" w:cs="Times New Roman"/>
          <w:sz w:val="20"/>
          <w:szCs w:val="20"/>
          <w:lang w:val="en-US"/>
        </w:rPr>
        <w:t>Scientometrics</w:t>
      </w:r>
      <w:proofErr w:type="spellEnd"/>
      <w:r w:rsidRPr="00A30629">
        <w:rPr>
          <w:rFonts w:ascii="Times New Roman" w:hAnsi="Times New Roman" w:cs="Times New Roman"/>
          <w:sz w:val="20"/>
          <w:szCs w:val="20"/>
          <w:lang w:val="en-US"/>
        </w:rPr>
        <w:t xml:space="preserve">” 2020,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vol. </w:t>
      </w:r>
      <w:r w:rsidRPr="00A30629">
        <w:rPr>
          <w:rFonts w:ascii="Times New Roman" w:hAnsi="Times New Roman" w:cs="Times New Roman"/>
          <w:sz w:val="20"/>
          <w:szCs w:val="20"/>
          <w:lang w:val="en-US"/>
        </w:rPr>
        <w:t>125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no. </w:t>
      </w:r>
      <w:r w:rsidRPr="00A30629">
        <w:rPr>
          <w:rFonts w:ascii="Times New Roman" w:hAnsi="Times New Roman" w:cs="Times New Roman"/>
          <w:sz w:val="20"/>
          <w:szCs w:val="20"/>
          <w:lang w:val="en-US"/>
        </w:rPr>
        <w:t>3, s. 2561</w:t>
      </w:r>
      <w:r>
        <w:rPr>
          <w:rFonts w:ascii="Times New Roman" w:hAnsi="Times New Roman" w:cs="Times New Roman"/>
          <w:sz w:val="20"/>
          <w:szCs w:val="20"/>
          <w:lang w:val="en-US"/>
        </w:rPr>
        <w:t>–</w:t>
      </w:r>
      <w:r w:rsidRPr="00A30629">
        <w:rPr>
          <w:rFonts w:ascii="Times New Roman" w:hAnsi="Times New Roman" w:cs="Times New Roman"/>
          <w:sz w:val="20"/>
          <w:szCs w:val="20"/>
          <w:lang w:val="en-US"/>
        </w:rPr>
        <w:t>2595.</w:t>
      </w:r>
    </w:p>
  </w:footnote>
  <w:footnote w:id="3">
    <w:p w:rsidR="00B2425B" w:rsidRPr="001F6FC9" w:rsidRDefault="00B2425B" w:rsidP="00B2425B">
      <w:pPr>
        <w:pStyle w:val="Tekstprzypisudolnego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0"/>
          <w:szCs w:val="20"/>
        </w:rPr>
      </w:pPr>
      <w:r w:rsidRPr="00A30629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F6FC9">
        <w:rPr>
          <w:rFonts w:ascii="Times New Roman" w:hAnsi="Times New Roman" w:cs="Times New Roman"/>
          <w:sz w:val="20"/>
          <w:szCs w:val="20"/>
        </w:rPr>
        <w:t xml:space="preserve"> W. M. Kolasa, </w:t>
      </w:r>
      <w:r w:rsidRPr="001F6FC9">
        <w:rPr>
          <w:rFonts w:ascii="Times New Roman" w:hAnsi="Times New Roman" w:cs="Times New Roman"/>
          <w:i/>
          <w:sz w:val="20"/>
          <w:szCs w:val="20"/>
        </w:rPr>
        <w:t>Historiografia prasy polskiej (do 1918 roku)</w:t>
      </w:r>
      <w:r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N</w:t>
      </w:r>
      <w:r w:rsidRPr="001F6FC9">
        <w:rPr>
          <w:rFonts w:ascii="Times New Roman" w:hAnsi="Times New Roman" w:cs="Times New Roman"/>
          <w:i/>
          <w:sz w:val="20"/>
          <w:szCs w:val="20"/>
        </w:rPr>
        <w:t>aukometryczna</w:t>
      </w:r>
      <w:proofErr w:type="spellEnd"/>
      <w:r w:rsidRPr="001F6FC9">
        <w:rPr>
          <w:rFonts w:ascii="Times New Roman" w:hAnsi="Times New Roman" w:cs="Times New Roman"/>
          <w:i/>
          <w:sz w:val="20"/>
          <w:szCs w:val="20"/>
        </w:rPr>
        <w:t xml:space="preserve"> analiza dyscypliny 1945</w:t>
      </w:r>
      <w:r>
        <w:rPr>
          <w:rFonts w:ascii="Times New Roman" w:hAnsi="Times New Roman" w:cs="Times New Roman"/>
          <w:i/>
          <w:sz w:val="20"/>
          <w:szCs w:val="20"/>
        </w:rPr>
        <w:t>–</w:t>
      </w:r>
      <w:r w:rsidRPr="001F6FC9">
        <w:rPr>
          <w:rFonts w:ascii="Times New Roman" w:hAnsi="Times New Roman" w:cs="Times New Roman"/>
          <w:i/>
          <w:sz w:val="20"/>
          <w:szCs w:val="20"/>
        </w:rPr>
        <w:t>2009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1F6FC9">
        <w:rPr>
          <w:rFonts w:ascii="Times New Roman" w:hAnsi="Times New Roman" w:cs="Times New Roman"/>
          <w:sz w:val="20"/>
          <w:szCs w:val="20"/>
        </w:rPr>
        <w:t xml:space="preserve"> Kraków 2013, s. 46.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2DF" w:rsidRDefault="00AD72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EFD" w:rsidRPr="00AD72DF" w:rsidRDefault="00B87EFD" w:rsidP="00AD72D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2DF" w:rsidRDefault="00AD72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B3EE6"/>
    <w:multiLevelType w:val="multilevel"/>
    <w:tmpl w:val="7ADA830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0D0213"/>
    <w:multiLevelType w:val="multilevel"/>
    <w:tmpl w:val="8B8C0A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38F4028"/>
    <w:multiLevelType w:val="multilevel"/>
    <w:tmpl w:val="EA58CB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581230"/>
    <w:multiLevelType w:val="multilevel"/>
    <w:tmpl w:val="DF845F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70"/>
    <w:rsid w:val="00006489"/>
    <w:rsid w:val="00036808"/>
    <w:rsid w:val="000452A2"/>
    <w:rsid w:val="0008511D"/>
    <w:rsid w:val="00086CE2"/>
    <w:rsid w:val="000A188E"/>
    <w:rsid w:val="001E51BF"/>
    <w:rsid w:val="001F0CE7"/>
    <w:rsid w:val="002047B2"/>
    <w:rsid w:val="00217BB0"/>
    <w:rsid w:val="0023296D"/>
    <w:rsid w:val="002B725C"/>
    <w:rsid w:val="002D606F"/>
    <w:rsid w:val="003314C8"/>
    <w:rsid w:val="003F7376"/>
    <w:rsid w:val="005334C5"/>
    <w:rsid w:val="0060187A"/>
    <w:rsid w:val="006B14F3"/>
    <w:rsid w:val="006F408E"/>
    <w:rsid w:val="006F5D67"/>
    <w:rsid w:val="00705B72"/>
    <w:rsid w:val="00751DE3"/>
    <w:rsid w:val="00880B17"/>
    <w:rsid w:val="008E41B2"/>
    <w:rsid w:val="008E56CD"/>
    <w:rsid w:val="008F43A0"/>
    <w:rsid w:val="009178D2"/>
    <w:rsid w:val="009E3711"/>
    <w:rsid w:val="009F330D"/>
    <w:rsid w:val="00A02C70"/>
    <w:rsid w:val="00A040F5"/>
    <w:rsid w:val="00A25BF0"/>
    <w:rsid w:val="00A30629"/>
    <w:rsid w:val="00A6476B"/>
    <w:rsid w:val="00AD5AE6"/>
    <w:rsid w:val="00AD72DF"/>
    <w:rsid w:val="00AE7E4A"/>
    <w:rsid w:val="00B2425B"/>
    <w:rsid w:val="00B369E3"/>
    <w:rsid w:val="00B67F4A"/>
    <w:rsid w:val="00B87EFD"/>
    <w:rsid w:val="00B93627"/>
    <w:rsid w:val="00B95321"/>
    <w:rsid w:val="00BA2A63"/>
    <w:rsid w:val="00BD79A7"/>
    <w:rsid w:val="00BE7A87"/>
    <w:rsid w:val="00C54579"/>
    <w:rsid w:val="00C552F4"/>
    <w:rsid w:val="00C613C3"/>
    <w:rsid w:val="00C87916"/>
    <w:rsid w:val="00CC50B1"/>
    <w:rsid w:val="00CE1641"/>
    <w:rsid w:val="00D04997"/>
    <w:rsid w:val="00D25036"/>
    <w:rsid w:val="00D3298D"/>
    <w:rsid w:val="00D6166B"/>
    <w:rsid w:val="00D86E27"/>
    <w:rsid w:val="00E36EE0"/>
    <w:rsid w:val="00EA1314"/>
    <w:rsid w:val="00F471D9"/>
    <w:rsid w:val="00F77969"/>
    <w:rsid w:val="00F95BC5"/>
    <w:rsid w:val="00FA12C1"/>
    <w:rsid w:val="00FC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DE5C26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569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E525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C62A06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A73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7A731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E6D8A"/>
  </w:style>
  <w:style w:type="character" w:customStyle="1" w:styleId="StopkaZnak">
    <w:name w:val="Stopka Znak"/>
    <w:basedOn w:val="Domylnaczcionkaakapitu"/>
    <w:link w:val="Stopka"/>
    <w:uiPriority w:val="99"/>
    <w:qFormat/>
    <w:rsid w:val="00CE6D8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44A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144AF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DE5C26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97BF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97BF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97BF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7BF4"/>
    <w:rPr>
      <w:rFonts w:ascii="Segoe UI" w:hAnsi="Segoe UI" w:cs="Segoe UI"/>
      <w:sz w:val="18"/>
      <w:szCs w:val="18"/>
    </w:rPr>
  </w:style>
  <w:style w:type="character" w:customStyle="1" w:styleId="Wyrnienie">
    <w:name w:val="Wyróżnienie"/>
    <w:basedOn w:val="Domylnaczcionkaakapitu"/>
    <w:uiPriority w:val="20"/>
    <w:qFormat/>
    <w:rsid w:val="00AC5C23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E569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CE6D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E52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</w:style>
  <w:style w:type="paragraph" w:customStyle="1" w:styleId="Default">
    <w:name w:val="Default"/>
    <w:qFormat/>
    <w:rsid w:val="00F4380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E6D8A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144AF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97BF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97BF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7BF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17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2023-01-25T20:00:00Z</dcterms:created>
  <dcterms:modified xsi:type="dcterms:W3CDTF">2023-01-25T20:00:00Z</dcterms:modified>
  <dc:language/>
</cp:coreProperties>
</file>